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364BA" w14:textId="518BF475" w:rsidR="00FF512E" w:rsidRDefault="00FF512E" w:rsidP="00FF512E">
      <w:pPr>
        <w:rPr>
          <w:color w:val="ACB9CA" w:themeColor="text2" w:themeTint="66"/>
          <w:sz w:val="36"/>
          <w:szCs w:val="36"/>
          <w:lang w:val="en-US"/>
        </w:rPr>
      </w:pPr>
      <w:bookmarkStart w:id="0" w:name="_GoBack"/>
      <w:bookmarkEnd w:id="0"/>
      <w:r w:rsidRPr="00DA5405">
        <w:rPr>
          <w:color w:val="ACB9CA" w:themeColor="text2" w:themeTint="66"/>
          <w:sz w:val="36"/>
          <w:szCs w:val="36"/>
          <w:lang w:val="en-US"/>
        </w:rPr>
        <w:t>Assignment Stage 2 (ASS #2)</w:t>
      </w:r>
      <w:r>
        <w:rPr>
          <w:color w:val="ACB9CA" w:themeColor="text2" w:themeTint="66"/>
          <w:sz w:val="36"/>
          <w:szCs w:val="36"/>
          <w:lang w:val="en-US"/>
        </w:rPr>
        <w:t xml:space="preserve"> – ACC11059</w:t>
      </w:r>
    </w:p>
    <w:p w14:paraId="2C4CC8B3" w14:textId="77777777" w:rsidR="00DC3AFE" w:rsidRDefault="00DC3AFE" w:rsidP="00FF512E">
      <w:pPr>
        <w:rPr>
          <w:lang w:val="en-US"/>
        </w:rPr>
      </w:pPr>
    </w:p>
    <w:p w14:paraId="1D072D5C" w14:textId="62B54D5E" w:rsidR="00853D5C" w:rsidRDefault="00FF2E35" w:rsidP="00FF512E">
      <w:pPr>
        <w:rPr>
          <w:lang w:val="en-US"/>
        </w:rPr>
      </w:pPr>
      <w:r>
        <w:rPr>
          <w:lang w:val="en-US"/>
        </w:rPr>
        <w:t xml:space="preserve">Step </w:t>
      </w:r>
      <w:r w:rsidR="00335E92">
        <w:rPr>
          <w:lang w:val="en-US"/>
        </w:rPr>
        <w:t>8</w:t>
      </w:r>
    </w:p>
    <w:p w14:paraId="0BBE4DFB" w14:textId="6065F0A1" w:rsidR="00853D5C" w:rsidRDefault="00CE0D0C" w:rsidP="00FF512E">
      <w:pPr>
        <w:rPr>
          <w:lang w:val="en-US"/>
        </w:rPr>
      </w:pPr>
      <w:r>
        <w:rPr>
          <w:lang w:val="en-US"/>
        </w:rPr>
        <w:t xml:space="preserve">Ratios, Ratios, Ratios </w:t>
      </w:r>
    </w:p>
    <w:p w14:paraId="0265BA89" w14:textId="2B2FC70E" w:rsidR="00D83A71" w:rsidRDefault="00CE0D0C" w:rsidP="00FF512E">
      <w:pPr>
        <w:rPr>
          <w:lang w:val="en-US"/>
        </w:rPr>
      </w:pPr>
      <w:r>
        <w:rPr>
          <w:lang w:val="en-US"/>
        </w:rPr>
        <w:t xml:space="preserve">I can see this being a challenging topic. The only ratio I have add experience in is the net profit margin. Profit margin % is the percentage of profit from the sales generated. In my experience and the labour services I work with; a 10% profit margin is healthy. Over the last two years though as the markets tightened and the costs are scrutinized and challenge, management are accepting a 7-8% profit margin.  My company, Scan Tech has a profit margin of 7% in 2018 and 7.3% in 2015. The in-between years had a few challenges and net profit margin was 1%. This trend was also seen in the return on assets ratio. </w:t>
      </w:r>
      <w:r w:rsidR="00824BB3">
        <w:rPr>
          <w:lang w:val="en-US"/>
        </w:rPr>
        <w:t xml:space="preserve">This ratio was used to show the percentage profit from the total assets the company had. 2018 and 2015 has higher percentages at 5.4% and 4.6% respectively. The other years </w:t>
      </w:r>
      <w:r w:rsidR="00BA2641">
        <w:rPr>
          <w:lang w:val="en-US"/>
        </w:rPr>
        <w:t>in-between was</w:t>
      </w:r>
      <w:r w:rsidR="00824BB3">
        <w:rPr>
          <w:lang w:val="en-US"/>
        </w:rPr>
        <w:t xml:space="preserve"> much lower at 0.8% and 0.7%. </w:t>
      </w:r>
      <w:r w:rsidR="00BA2641">
        <w:rPr>
          <w:lang w:val="en-US"/>
        </w:rPr>
        <w:t xml:space="preserve">What was driving this lower percentage? The annual statement for 2016 mentions there is a reduction in capital expenditure in the coal, cement and mineral </w:t>
      </w:r>
      <w:r w:rsidR="00D83A71">
        <w:rPr>
          <w:lang w:val="en-US"/>
        </w:rPr>
        <w:t>industries which is evident in the revenue sales in 2016 and 2017 which is three million lowers in both years. The assets decreased in 2016 and 2017 when a share buy-back was conducted. Share holder funds decreased 11% which would also result in lower assets which would drive down the return of assets ratio.</w:t>
      </w:r>
    </w:p>
    <w:p w14:paraId="47F5BFC0" w14:textId="279C1CA4" w:rsidR="00D83A71" w:rsidRDefault="004C0FA2" w:rsidP="00FF512E">
      <w:pPr>
        <w:rPr>
          <w:lang w:val="en-US"/>
        </w:rPr>
      </w:pPr>
      <w:r>
        <w:rPr>
          <w:lang w:val="en-US"/>
        </w:rPr>
        <w:t xml:space="preserve">When I compared Maria days of inventory ratio from west farmers to mine, it certainly didn’t tell the same beneficial story. </w:t>
      </w:r>
      <w:r w:rsidR="00303245">
        <w:rPr>
          <w:lang w:val="en-US"/>
        </w:rPr>
        <w:t xml:space="preserve">If I compare my days of inventory ratio it is telling me that it takes 151 days to turnover inventory. That’s nearly half a year. Hopefully I have the ratio correct. Currently it takes the inventory figure on the balance sheet and divides by the daily average cost of goods (Revenue statement COGS/ 365 days) There is </w:t>
      </w:r>
      <w:r w:rsidR="004A0B18">
        <w:rPr>
          <w:lang w:val="en-US"/>
        </w:rPr>
        <w:t>an</w:t>
      </w:r>
      <w:r w:rsidR="00303245">
        <w:rPr>
          <w:lang w:val="en-US"/>
        </w:rPr>
        <w:t xml:space="preserve"> upward trend from 2015 to 2018 which is positive. 2015 shows 241 days compared to 151-day turnover in 2018. Scan Tech sell large pieces of equipment and I would assume to turnover these big pieces of </w:t>
      </w:r>
      <w:r w:rsidR="004B0652">
        <w:rPr>
          <w:lang w:val="en-US"/>
        </w:rPr>
        <w:t>machinery in</w:t>
      </w:r>
      <w:r w:rsidR="00303245">
        <w:rPr>
          <w:lang w:val="en-US"/>
        </w:rPr>
        <w:t xml:space="preserve"> a downturn of capital expenditure markets would be quite difficult. </w:t>
      </w:r>
      <w:r w:rsidR="004B0652">
        <w:rPr>
          <w:lang w:val="en-US"/>
        </w:rPr>
        <w:t xml:space="preserve">While I was working out the contribution margin for the products, they sold I average that they sell each item for roughly seventy-five thousand dollars. I would imagine the turnover for this machinery wouldn’t sell like hot cakes. </w:t>
      </w:r>
    </w:p>
    <w:p w14:paraId="44E46114" w14:textId="3A5FB621" w:rsidR="002A2D2A" w:rsidRDefault="002A2D2A" w:rsidP="00FF512E">
      <w:pPr>
        <w:rPr>
          <w:lang w:val="en-US"/>
        </w:rPr>
      </w:pPr>
      <w:r>
        <w:rPr>
          <w:lang w:val="en-US"/>
        </w:rPr>
        <w:t>The next ratio I compare is the Total Asset Turnover Ratio. This ratio</w:t>
      </w:r>
      <w:r>
        <w:rPr>
          <w:rFonts w:ascii="Segoe UI" w:hAnsi="Segoe UI" w:cs="Segoe UI"/>
          <w:color w:val="111111"/>
        </w:rPr>
        <w:t xml:space="preserve"> is a financial efficiency ratio </w:t>
      </w:r>
      <w:r w:rsidRPr="002A2D2A">
        <w:rPr>
          <w:lang w:val="en-US"/>
        </w:rPr>
        <w:t xml:space="preserve">that </w:t>
      </w:r>
      <w:r w:rsidRPr="002A2D2A">
        <w:rPr>
          <w:bCs/>
          <w:lang w:val="en-US"/>
        </w:rPr>
        <w:t>measures the ability of a company to use its assets to generate sales</w:t>
      </w:r>
      <w:r w:rsidRPr="002A2D2A">
        <w:rPr>
          <w:lang w:val="en-US"/>
        </w:rPr>
        <w:t>.</w:t>
      </w:r>
      <w:r>
        <w:rPr>
          <w:lang w:val="en-US"/>
        </w:rPr>
        <w:t xml:space="preserve"> Scan Tech’s TATR remains quite stable however is under the one for one ratio. It is showing a slow upward trend as the sales increase towards 2018. I learnt from Maria’s video that a higher </w:t>
      </w:r>
      <w:r w:rsidR="008D7D1A">
        <w:rPr>
          <w:lang w:val="en-US"/>
        </w:rPr>
        <w:t>TATR is always favorable as the company would want a higher one dollar of sales for every dollar invested in assets.</w:t>
      </w:r>
      <w:r w:rsidR="00280628">
        <w:rPr>
          <w:lang w:val="en-US"/>
        </w:rPr>
        <w:t xml:space="preserve"> If we compare the current assets vs current liabilities or the current ratio of current assets to current liabilities the company is showing a higher return on assets. However, the trend is spiraling downward which might send out a few alarm bells. The recovery rate has dropped by half from 3.08 to 1.87 which can be</w:t>
      </w:r>
      <w:r w:rsidR="00544C82">
        <w:rPr>
          <w:lang w:val="en-US"/>
        </w:rPr>
        <w:t xml:space="preserve"> a</w:t>
      </w:r>
      <w:r w:rsidR="00280628">
        <w:rPr>
          <w:lang w:val="en-US"/>
        </w:rPr>
        <w:t xml:space="preserve"> driver from lower assets or higher liabilities. The current assets dropped by four million from 2015 to 2018</w:t>
      </w:r>
      <w:r w:rsidR="008350CA">
        <w:rPr>
          <w:lang w:val="en-US"/>
        </w:rPr>
        <w:t>. The share buyback contributed to this.</w:t>
      </w:r>
      <w:r w:rsidR="00280628">
        <w:rPr>
          <w:lang w:val="en-US"/>
        </w:rPr>
        <w:t xml:space="preserve"> </w:t>
      </w:r>
      <w:r w:rsidR="008350CA">
        <w:rPr>
          <w:lang w:val="en-US"/>
        </w:rPr>
        <w:t>T</w:t>
      </w:r>
      <w:r w:rsidR="00280628">
        <w:rPr>
          <w:lang w:val="en-US"/>
        </w:rPr>
        <w:t xml:space="preserve">he current liabilities increased </w:t>
      </w:r>
      <w:r w:rsidR="008350CA">
        <w:rPr>
          <w:lang w:val="en-US"/>
        </w:rPr>
        <w:t xml:space="preserve">with trade and other payables increasing. </w:t>
      </w:r>
      <w:r w:rsidR="00544C82">
        <w:rPr>
          <w:lang w:val="en-US"/>
        </w:rPr>
        <w:t xml:space="preserve">Even though the ratio is still quite healthy, the company would not be able to sustain another 50% decrease over the next four years. The ratio for 2018 was just shy on returning two dollars for every dollar invested in the assets. </w:t>
      </w:r>
    </w:p>
    <w:p w14:paraId="5B9D3DFB" w14:textId="77777777" w:rsidR="00544C82" w:rsidRPr="002A2D2A" w:rsidRDefault="00544C82" w:rsidP="00FF512E">
      <w:pPr>
        <w:rPr>
          <w:lang w:val="en-US"/>
        </w:rPr>
      </w:pPr>
    </w:p>
    <w:p w14:paraId="23DB6367" w14:textId="32812309" w:rsidR="004B0652" w:rsidRPr="002A2D2A" w:rsidRDefault="004B0652" w:rsidP="00FF512E">
      <w:pPr>
        <w:rPr>
          <w:lang w:val="en-US"/>
        </w:rPr>
      </w:pPr>
    </w:p>
    <w:p w14:paraId="1F29E816" w14:textId="7BD24AAE" w:rsidR="004B0652" w:rsidRDefault="009E2010" w:rsidP="00FF512E">
      <w:pPr>
        <w:rPr>
          <w:lang w:val="en-US"/>
        </w:rPr>
      </w:pPr>
      <w:r>
        <w:rPr>
          <w:lang w:val="en-US"/>
        </w:rPr>
        <w:lastRenderedPageBreak/>
        <w:t>The ratios that determine a company’s financial structure can be related to our household and general living. If we are wanting to apply for a loan, we need to show evidence of all our income and all our expenses including any loan repayments. During this review the financial entity can determine how much surplus equity we have to fund another load. How much risk the financial entity can take if they decide to give us another load. They can determine how much of our assets or cash (if any) is already being funded by loans and whether we have the capacity to pay this amount back. I find the debt/equity ratio for a company similar to this. T</w:t>
      </w:r>
      <w:r w:rsidRPr="009E2010">
        <w:rPr>
          <w:lang w:val="en-US"/>
        </w:rPr>
        <w:t xml:space="preserve">he debt </w:t>
      </w:r>
      <w:r w:rsidRPr="009E2010">
        <w:rPr>
          <w:bCs/>
          <w:lang w:val="en-US"/>
        </w:rPr>
        <w:t>to</w:t>
      </w:r>
      <w:r w:rsidRPr="009E2010">
        <w:rPr>
          <w:lang w:val="en-US"/>
        </w:rPr>
        <w:t xml:space="preserve"> equity </w:t>
      </w:r>
      <w:r w:rsidRPr="009E2010">
        <w:rPr>
          <w:bCs/>
          <w:lang w:val="en-US"/>
        </w:rPr>
        <w:t>ratio</w:t>
      </w:r>
      <w:r w:rsidRPr="009E2010">
        <w:rPr>
          <w:lang w:val="en-US"/>
        </w:rPr>
        <w:t xml:space="preserve"> is also called the risk </w:t>
      </w:r>
      <w:r w:rsidRPr="009E2010">
        <w:rPr>
          <w:bCs/>
          <w:lang w:val="en-US"/>
        </w:rPr>
        <w:t>ratio</w:t>
      </w:r>
      <w:r w:rsidRPr="009E2010">
        <w:rPr>
          <w:lang w:val="en-US"/>
        </w:rPr>
        <w:t xml:space="preserve"> or leverage </w:t>
      </w:r>
      <w:r w:rsidRPr="009E2010">
        <w:rPr>
          <w:bCs/>
          <w:lang w:val="en-US"/>
        </w:rPr>
        <w:t>ratio</w:t>
      </w:r>
      <w:r w:rsidRPr="009E2010">
        <w:rPr>
          <w:lang w:val="en-US"/>
        </w:rPr>
        <w:t>. It is a quick tool for determining the amount of financial leverage a company is using. In other words, it gives you an idea of how much a company uses debt to pay for operations.</w:t>
      </w:r>
      <w:r>
        <w:rPr>
          <w:lang w:val="en-US"/>
        </w:rPr>
        <w:t xml:space="preserve"> Scan Tech has a ratio that started to climb in 2016 and 2017 however has dropped slightly to sixty five percent in 2018</w:t>
      </w:r>
      <w:r w:rsidR="00CC4C10">
        <w:rPr>
          <w:lang w:val="en-US"/>
        </w:rPr>
        <w:t xml:space="preserve">. I don’t call this an aggressive growth in Scan Tech but knowing that that ratio sits at 65% and the company can still report on a $1M profit for 2018 shows that Scan Tech can fund its obligations. The equity ratio is quite stable in Scan Tech and there is little movement during the four years. The ratio shows how much of the company is funded by shareholders. This ratio is showing a steady sixty percent in those four years and follows the same slight decrease in 2016 and 2017 as the debt equity ratio but then starts to climb up. Having a stable equity ratio would be a good indication of a reality healthy company. </w:t>
      </w:r>
    </w:p>
    <w:p w14:paraId="53E126D3" w14:textId="5767BBFA" w:rsidR="006B20E1" w:rsidRDefault="006E69A4" w:rsidP="00FF512E">
      <w:pPr>
        <w:rPr>
          <w:lang w:val="en-US"/>
        </w:rPr>
      </w:pPr>
      <w:r>
        <w:rPr>
          <w:lang w:val="en-US"/>
        </w:rPr>
        <w:t xml:space="preserve">I found the market ratio’s a lot harder to determine. ScanTech become an unlisted company on the ASX in 2015. </w:t>
      </w:r>
      <w:r w:rsidR="006B20E1">
        <w:rPr>
          <w:lang w:val="en-US"/>
        </w:rPr>
        <w:t>Honestly,</w:t>
      </w:r>
      <w:r>
        <w:rPr>
          <w:lang w:val="en-US"/>
        </w:rPr>
        <w:t xml:space="preserve"> I’m not familiar with the share market and</w:t>
      </w:r>
      <w:r w:rsidR="006B20E1">
        <w:rPr>
          <w:lang w:val="en-US"/>
        </w:rPr>
        <w:t xml:space="preserve"> was hoping Maria would mention companies that weren’t on the ASX and how we sourced that information. On Scan Techs website they have a section for shareholders. I read through this section and realized that they still offer up shares but do so by a controlled format. The is sections on how to apply for shares and can be found on the link below</w:t>
      </w:r>
    </w:p>
    <w:p w14:paraId="2EE68001" w14:textId="1CE2D289" w:rsidR="006B20E1" w:rsidRDefault="004A0B18" w:rsidP="00FF512E">
      <w:pPr>
        <w:rPr>
          <w:lang w:val="en-US"/>
        </w:rPr>
      </w:pPr>
      <w:hyperlink r:id="rId6" w:history="1">
        <w:r w:rsidR="006B20E1" w:rsidRPr="00083B05">
          <w:rPr>
            <w:rStyle w:val="Hyperlink"/>
            <w:lang w:val="en-US"/>
          </w:rPr>
          <w:t>http://shareholders.scantech.com.au/Shareholder/</w:t>
        </w:r>
      </w:hyperlink>
    </w:p>
    <w:p w14:paraId="7C50F82A" w14:textId="6740A4DF" w:rsidR="006B20E1" w:rsidRDefault="006B20E1" w:rsidP="00FF512E">
      <w:pPr>
        <w:rPr>
          <w:lang w:val="en-US"/>
        </w:rPr>
      </w:pPr>
      <w:r>
        <w:rPr>
          <w:lang w:val="en-US"/>
        </w:rPr>
        <w:t>Below is an extract from the website:</w:t>
      </w:r>
    </w:p>
    <w:p w14:paraId="30518A25" w14:textId="6B89C1FB" w:rsidR="006B20E1" w:rsidRDefault="006B20E1" w:rsidP="00FF512E">
      <w:pPr>
        <w:rPr>
          <w:rFonts w:ascii="Arial" w:hAnsi="Arial" w:cs="Arial"/>
          <w:color w:val="2C2D2D"/>
          <w:sz w:val="20"/>
          <w:szCs w:val="20"/>
        </w:rPr>
      </w:pPr>
      <w:r>
        <w:rPr>
          <w:rFonts w:ascii="Arial" w:hAnsi="Arial" w:cs="Arial"/>
          <w:color w:val="2C2D2D"/>
          <w:sz w:val="20"/>
          <w:szCs w:val="20"/>
        </w:rPr>
        <w:t>In order to provide shareholders with some liquidity for their shares, Scantech has received approval from the Australian Securities and Investments Commission (ASIC) to operate a low volume financial market under an exemption provided by section 791C of the Corporations Act 2001 and in accordance with the Corporations-low-volume-financial-markets-exemption-notice-2003.</w:t>
      </w:r>
    </w:p>
    <w:p w14:paraId="44F0A3B9" w14:textId="77777777" w:rsidR="006B20E1" w:rsidRDefault="006B20E1" w:rsidP="00FF512E">
      <w:pPr>
        <w:rPr>
          <w:rFonts w:ascii="Arial" w:hAnsi="Arial" w:cs="Arial"/>
          <w:color w:val="2C2D2D"/>
          <w:sz w:val="20"/>
          <w:szCs w:val="20"/>
        </w:rPr>
      </w:pPr>
    </w:p>
    <w:p w14:paraId="4D87F7F6" w14:textId="1F2BE554" w:rsidR="006E69A4" w:rsidRDefault="006B20E1" w:rsidP="00FF512E">
      <w:pPr>
        <w:rPr>
          <w:lang w:val="en-US"/>
        </w:rPr>
      </w:pPr>
      <w:r>
        <w:rPr>
          <w:lang w:val="en-US"/>
        </w:rPr>
        <w:t xml:space="preserve">The annual reports about two major buy back schemes during 2016 and 2017 and also lists the ordinary shares on page 28 of the annual report. I used this information to support the market ratios. Below is a </w:t>
      </w:r>
      <w:r w:rsidR="004A0B18">
        <w:rPr>
          <w:lang w:val="en-US"/>
        </w:rPr>
        <w:t>snippet</w:t>
      </w:r>
      <w:r>
        <w:rPr>
          <w:lang w:val="en-US"/>
        </w:rPr>
        <w:t xml:space="preserve"> of my workings. </w:t>
      </w:r>
    </w:p>
    <w:p w14:paraId="4DE0769C" w14:textId="59DB3374" w:rsidR="006B20E1" w:rsidRDefault="006B20E1" w:rsidP="00FF512E">
      <w:pPr>
        <w:rPr>
          <w:lang w:val="en-US"/>
        </w:rPr>
      </w:pPr>
      <w:r>
        <w:rPr>
          <w:lang w:val="en-US"/>
        </w:rPr>
        <w:t xml:space="preserve">The earnings per share seems very low during the 2016 and 2017 financial year. The earnings per share was driven down by the low net profit margin that was made. </w:t>
      </w:r>
    </w:p>
    <w:p w14:paraId="008F4A19" w14:textId="141A42E1" w:rsidR="006B20E1" w:rsidRDefault="006B20E1" w:rsidP="00FF512E">
      <w:pPr>
        <w:rPr>
          <w:lang w:val="en-US"/>
        </w:rPr>
      </w:pPr>
    </w:p>
    <w:p w14:paraId="4E846224" w14:textId="4951C65A" w:rsidR="006B20E1" w:rsidRDefault="006B20E1" w:rsidP="00FF512E">
      <w:pPr>
        <w:rPr>
          <w:lang w:val="en-US"/>
        </w:rPr>
      </w:pPr>
      <w:r>
        <w:rPr>
          <w:noProof/>
        </w:rPr>
        <w:drawing>
          <wp:inline distT="0" distB="0" distL="0" distR="0" wp14:anchorId="2BF20FD6" wp14:editId="00254797">
            <wp:extent cx="5731510" cy="4457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445770"/>
                    </a:xfrm>
                    <a:prstGeom prst="rect">
                      <a:avLst/>
                    </a:prstGeom>
                  </pic:spPr>
                </pic:pic>
              </a:graphicData>
            </a:graphic>
          </wp:inline>
        </w:drawing>
      </w:r>
    </w:p>
    <w:p w14:paraId="3647C9C9" w14:textId="657A84B7" w:rsidR="006B20E1" w:rsidRDefault="00E65662" w:rsidP="00FF512E">
      <w:pPr>
        <w:rPr>
          <w:lang w:val="en-US"/>
        </w:rPr>
      </w:pPr>
      <w:r>
        <w:rPr>
          <w:lang w:val="en-US"/>
        </w:rPr>
        <w:t xml:space="preserve">The dividends ratios I don’t think is correct. I couldn’t find on my annual statement where the company paid dividends however, I have linked it the movement in </w:t>
      </w:r>
      <w:r w:rsidR="0006218A">
        <w:rPr>
          <w:lang w:val="en-US"/>
        </w:rPr>
        <w:t>equity’s</w:t>
      </w:r>
      <w:r>
        <w:rPr>
          <w:lang w:val="en-US"/>
        </w:rPr>
        <w:t xml:space="preserve"> statement when the buy back scheme occurred. Being an unlisted company, I wasn’t sure whether Scan Tech would pay dividends. The price earnings per share also doesn’t seem correct to me as during the 2016 and 2017 </w:t>
      </w:r>
      <w:r>
        <w:rPr>
          <w:lang w:val="en-US"/>
        </w:rPr>
        <w:lastRenderedPageBreak/>
        <w:t xml:space="preserve">years where the profit margin was down the price earnings were higher. I’m hoping once I upload this to my </w:t>
      </w:r>
      <w:r w:rsidR="0006218A">
        <w:rPr>
          <w:lang w:val="en-US"/>
        </w:rPr>
        <w:t>blog,</w:t>
      </w:r>
      <w:r>
        <w:rPr>
          <w:lang w:val="en-US"/>
        </w:rPr>
        <w:t xml:space="preserve"> I will get some help in sorting this out. </w:t>
      </w:r>
    </w:p>
    <w:p w14:paraId="49651CAD" w14:textId="5C5397D5" w:rsidR="0006218A" w:rsidRDefault="0006218A" w:rsidP="00FF512E">
      <w:pPr>
        <w:rPr>
          <w:lang w:val="en-US"/>
        </w:rPr>
      </w:pPr>
      <w:r>
        <w:rPr>
          <w:lang w:val="en-US"/>
        </w:rPr>
        <w:t xml:space="preserve">I was driving home from work tonight, I have started a shutdown and I am doing long hours, and I started to think about how I would tackle my Uni assignment tonight. I started to think about the relationship or differences between the ratios that were being applied to the original financial statements and the ratios that were applied to the re-instated financial statements. Were they similar and told the same financial story between the same statements or were they comparing different information and being used to tell a separate business reality? Below were the ratios that were compared using the re-instated financial statements. </w:t>
      </w:r>
    </w:p>
    <w:p w14:paraId="0DF4A1B8" w14:textId="52CAD888" w:rsidR="0006218A" w:rsidRDefault="0006218A" w:rsidP="00FF512E">
      <w:pPr>
        <w:rPr>
          <w:lang w:val="en-US"/>
        </w:rPr>
      </w:pPr>
      <w:r>
        <w:rPr>
          <w:noProof/>
        </w:rPr>
        <w:drawing>
          <wp:inline distT="0" distB="0" distL="0" distR="0" wp14:anchorId="7252E396" wp14:editId="5DB3B8F1">
            <wp:extent cx="5731510" cy="772160"/>
            <wp:effectExtent l="0" t="0" r="254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772160"/>
                    </a:xfrm>
                    <a:prstGeom prst="rect">
                      <a:avLst/>
                    </a:prstGeom>
                  </pic:spPr>
                </pic:pic>
              </a:graphicData>
            </a:graphic>
          </wp:inline>
        </w:drawing>
      </w:r>
    </w:p>
    <w:p w14:paraId="4AE1B139" w14:textId="254B6584" w:rsidR="0006218A" w:rsidRDefault="0006218A" w:rsidP="00FF512E">
      <w:pPr>
        <w:rPr>
          <w:lang w:val="en-US"/>
        </w:rPr>
      </w:pPr>
      <w:r>
        <w:rPr>
          <w:lang w:val="en-US"/>
        </w:rPr>
        <w:t xml:space="preserve">The return on equity was the first ratio that was being applied. I don’t think there was an equivalent which we were comparing in the original statements.  </w:t>
      </w:r>
      <w:r w:rsidRPr="0006218A">
        <w:rPr>
          <w:lang w:val="en-US"/>
        </w:rPr>
        <w:t>ROE is a measure of how well a company uses investments to generate earnings growth.</w:t>
      </w:r>
      <w:r w:rsidR="0079096E">
        <w:rPr>
          <w:lang w:val="en-US"/>
        </w:rPr>
        <w:t xml:space="preserve"> The targeted audience would be shareholders and business partners to determine the viability of the company. The ROE for Scan Tech was high in 2018 and 2015. This was being driven by the higher comprehensive income made in those months. </w:t>
      </w:r>
    </w:p>
    <w:p w14:paraId="18AD497D" w14:textId="21248F22" w:rsidR="0079096E" w:rsidRDefault="0079096E" w:rsidP="00FF512E">
      <w:pPr>
        <w:rPr>
          <w:lang w:val="en-US"/>
        </w:rPr>
      </w:pPr>
      <w:r>
        <w:rPr>
          <w:lang w:val="en-US"/>
        </w:rPr>
        <w:t>The Return on Net Operating Assets (RNOA) featured quite heavily in our past assignments. It looks at the return of income (before financial income and expense) divided by the net operating assets and liabilities. I think the audience for this ratio would be more corporate based direct employees who have an interest or say in the operating activities of the firm.  This ratio in Scan Tech’s re-instated financial statements shows a healthy return in 2018 and 2015</w:t>
      </w:r>
      <w:r w:rsidR="00183013">
        <w:rPr>
          <w:lang w:val="en-US"/>
        </w:rPr>
        <w:t xml:space="preserve">. The same path of the ROE. </w:t>
      </w:r>
    </w:p>
    <w:p w14:paraId="653C5B22" w14:textId="77777777" w:rsidR="007571B8" w:rsidRDefault="007C1E6B" w:rsidP="00FF512E">
      <w:pPr>
        <w:rPr>
          <w:lang w:val="en-US"/>
        </w:rPr>
      </w:pPr>
      <w:r>
        <w:rPr>
          <w:lang w:val="en-US"/>
        </w:rPr>
        <w:t>I have applied the Net Borrowing Cost (NBC) in a different format as Scan Tech statements had Net Financial Assets as opposed to Net Financial Obligations. I used the same methodology and divided the Net financial expenses</w:t>
      </w:r>
      <w:r w:rsidR="007571B8">
        <w:rPr>
          <w:lang w:val="en-US"/>
        </w:rPr>
        <w:t xml:space="preserve"> by Total Financial Obligations. I would think the ratio is telling investors or business partners how much financial income/expense is being generated from the financial obligations that the company has. The trend of the ratio was in the increase. There was a huge percentage increase from 2017 to 2018 from three percent to twelve percent. In 2018 there was an increase in finance interest from net foreign exchange gain and franked dividend income. Does that mean that Scan Tech does pay dividends? At this moment I am wishing I knew a bit more regarding shares and dividends. </w:t>
      </w:r>
    </w:p>
    <w:p w14:paraId="1293D4EF" w14:textId="4AB51A42" w:rsidR="007C1E6B" w:rsidRDefault="007571B8" w:rsidP="00FF512E">
      <w:pPr>
        <w:rPr>
          <w:lang w:val="en-US"/>
        </w:rPr>
      </w:pPr>
      <w:r>
        <w:rPr>
          <w:lang w:val="en-US"/>
        </w:rPr>
        <w:t xml:space="preserve">The next two ratios </w:t>
      </w:r>
      <w:r w:rsidR="006658EF">
        <w:rPr>
          <w:lang w:val="en-US"/>
        </w:rPr>
        <w:t>compare</w:t>
      </w:r>
      <w:r>
        <w:rPr>
          <w:lang w:val="en-US"/>
        </w:rPr>
        <w:t xml:space="preserve"> against the re-instated financial statements and the original financial statements </w:t>
      </w:r>
      <w:r w:rsidR="006658EF">
        <w:rPr>
          <w:lang w:val="en-US"/>
        </w:rPr>
        <w:t xml:space="preserve">however from an operating perspective. The profit margin ratio is slightly lower than the net profit margin as reviewed above. Financial income/expense is excluded from this ratio and shows the income generated from operating activities only. The Asset Turnover (ATO) shows a healthier return as it compares sales divided by net operating assets. This is compared to the Total Asset Turnover ratio and both are trending upwards however with the financial assets and expenses removed the asset turnover ratio sits at almost double the return. I think the question everyone is asking who is completing this assignment is would they invest in this company. Despite the fact </w:t>
      </w:r>
      <w:r w:rsidR="007F2B9C">
        <w:rPr>
          <w:lang w:val="en-US"/>
        </w:rPr>
        <w:t>that profit</w:t>
      </w:r>
      <w:r w:rsidR="006658EF">
        <w:rPr>
          <w:lang w:val="en-US"/>
        </w:rPr>
        <w:t xml:space="preserve"> </w:t>
      </w:r>
      <w:r w:rsidR="007F2B9C">
        <w:rPr>
          <w:lang w:val="en-US"/>
        </w:rPr>
        <w:t>margins are</w:t>
      </w:r>
      <w:r w:rsidR="006658EF">
        <w:rPr>
          <w:lang w:val="en-US"/>
        </w:rPr>
        <w:t xml:space="preserve"> very sporadic the stability of the operating </w:t>
      </w:r>
      <w:r w:rsidR="007F2B9C">
        <w:rPr>
          <w:lang w:val="en-US"/>
        </w:rPr>
        <w:t>activities</w:t>
      </w:r>
      <w:r w:rsidR="006658EF">
        <w:rPr>
          <w:lang w:val="en-US"/>
        </w:rPr>
        <w:t xml:space="preserve"> are sustaining </w:t>
      </w:r>
      <w:r w:rsidR="007F2B9C">
        <w:rPr>
          <w:lang w:val="en-US"/>
        </w:rPr>
        <w:t xml:space="preserve">a viable company. Most ratios are returning one dollar or higher in every dollar spent. I would invest in this company however my lack of knowledge around their shares process would hinder my decision slightly.   </w:t>
      </w:r>
      <w:r w:rsidR="006658EF">
        <w:rPr>
          <w:lang w:val="en-US"/>
        </w:rPr>
        <w:t xml:space="preserve"> </w:t>
      </w:r>
    </w:p>
    <w:p w14:paraId="20BD312B" w14:textId="45C09BDB" w:rsidR="007F2B9C" w:rsidRDefault="007F2B9C" w:rsidP="00FF512E">
      <w:pPr>
        <w:rPr>
          <w:sz w:val="28"/>
          <w:szCs w:val="28"/>
          <w:lang w:val="en-US"/>
        </w:rPr>
      </w:pPr>
      <w:r w:rsidRPr="007F2B9C">
        <w:rPr>
          <w:b/>
          <w:sz w:val="28"/>
          <w:szCs w:val="28"/>
          <w:u w:val="single"/>
          <w:lang w:val="en-US"/>
        </w:rPr>
        <w:lastRenderedPageBreak/>
        <w:t>Economic Profit</w:t>
      </w:r>
      <w:r>
        <w:rPr>
          <w:b/>
          <w:sz w:val="28"/>
          <w:szCs w:val="28"/>
          <w:u w:val="single"/>
          <w:lang w:val="en-US"/>
        </w:rPr>
        <w:t xml:space="preserve"> – </w:t>
      </w:r>
      <w:r>
        <w:rPr>
          <w:sz w:val="28"/>
          <w:szCs w:val="28"/>
          <w:lang w:val="en-US"/>
        </w:rPr>
        <w:t xml:space="preserve">needs a page all to itself. </w:t>
      </w:r>
    </w:p>
    <w:p w14:paraId="0927F934" w14:textId="5D8FEECB" w:rsidR="007F2B9C" w:rsidRDefault="007F2B9C" w:rsidP="00FF512E">
      <w:pPr>
        <w:rPr>
          <w:sz w:val="28"/>
          <w:szCs w:val="28"/>
          <w:lang w:val="en-US"/>
        </w:rPr>
      </w:pPr>
    </w:p>
    <w:p w14:paraId="75C8D6B5" w14:textId="5466948B" w:rsidR="007F2B9C" w:rsidRDefault="007F2B9C" w:rsidP="00FF512E">
      <w:pPr>
        <w:rPr>
          <w:lang w:val="en-US"/>
        </w:rPr>
      </w:pPr>
      <w:r w:rsidRPr="0049169D">
        <w:rPr>
          <w:lang w:val="en-US"/>
        </w:rPr>
        <w:t>I</w:t>
      </w:r>
      <w:r w:rsidRPr="007F2B9C">
        <w:rPr>
          <w:lang w:val="en-US"/>
        </w:rPr>
        <w:t xml:space="preserve"> was quite </w:t>
      </w:r>
      <w:r>
        <w:rPr>
          <w:lang w:val="en-US"/>
        </w:rPr>
        <w:t>fortunate that my annual report had a statement surrounding the WACC and I have used this in my ratio for economic profit</w:t>
      </w:r>
      <w:r w:rsidR="0049169D">
        <w:rPr>
          <w:lang w:val="en-US"/>
        </w:rPr>
        <w:t xml:space="preserve"> which might be a bad idea after seeing the results. </w:t>
      </w:r>
    </w:p>
    <w:p w14:paraId="14876C0B" w14:textId="2A489E2B" w:rsidR="007F2B9C" w:rsidRDefault="007F2B9C" w:rsidP="00FF512E">
      <w:pPr>
        <w:rPr>
          <w:lang w:val="en-US"/>
        </w:rPr>
      </w:pPr>
    </w:p>
    <w:p w14:paraId="3EE89CA1" w14:textId="1537AE37" w:rsidR="007F2B9C" w:rsidRDefault="007F2B9C" w:rsidP="00FF512E">
      <w:pPr>
        <w:rPr>
          <w:sz w:val="28"/>
          <w:szCs w:val="28"/>
          <w:lang w:val="en-US"/>
        </w:rPr>
      </w:pPr>
      <w:r>
        <w:rPr>
          <w:noProof/>
        </w:rPr>
        <w:drawing>
          <wp:inline distT="0" distB="0" distL="0" distR="0" wp14:anchorId="76FBBB79" wp14:editId="3B144F6C">
            <wp:extent cx="5731510" cy="437515"/>
            <wp:effectExtent l="0" t="0" r="254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37515"/>
                    </a:xfrm>
                    <a:prstGeom prst="rect">
                      <a:avLst/>
                    </a:prstGeom>
                  </pic:spPr>
                </pic:pic>
              </a:graphicData>
            </a:graphic>
          </wp:inline>
        </w:drawing>
      </w:r>
    </w:p>
    <w:p w14:paraId="14232E81" w14:textId="7E5D6D03" w:rsidR="007F2B9C" w:rsidRDefault="0049169D" w:rsidP="00FF512E">
      <w:pPr>
        <w:rPr>
          <w:lang w:val="en-US"/>
        </w:rPr>
      </w:pPr>
      <w:r w:rsidRPr="0049169D">
        <w:rPr>
          <w:b/>
          <w:bCs/>
          <w:lang w:val="en-US"/>
        </w:rPr>
        <w:t>Economic profit</w:t>
      </w:r>
      <w:r w:rsidRPr="0049169D">
        <w:rPr>
          <w:lang w:val="en-US"/>
        </w:rPr>
        <w:t xml:space="preserve"> is the difference between accounting </w:t>
      </w:r>
      <w:r w:rsidRPr="0049169D">
        <w:rPr>
          <w:b/>
          <w:bCs/>
          <w:lang w:val="en-US"/>
        </w:rPr>
        <w:t>profit</w:t>
      </w:r>
      <w:r w:rsidRPr="0049169D">
        <w:rPr>
          <w:lang w:val="en-US"/>
        </w:rPr>
        <w:t xml:space="preserve"> and opportunity</w:t>
      </w:r>
      <w:r>
        <w:rPr>
          <w:rFonts w:ascii="Arial" w:hAnsi="Arial" w:cs="Arial"/>
          <w:color w:val="666666"/>
          <w:sz w:val="20"/>
          <w:szCs w:val="20"/>
        </w:rPr>
        <w:t xml:space="preserve"> </w:t>
      </w:r>
      <w:r w:rsidRPr="0049169D">
        <w:rPr>
          <w:lang w:val="en-US"/>
        </w:rPr>
        <w:t>cost the business has foregone as the business has invested in its existing project.</w:t>
      </w:r>
    </w:p>
    <w:p w14:paraId="612C0818" w14:textId="599EA253" w:rsidR="0049169D" w:rsidRPr="0049169D" w:rsidRDefault="0049169D" w:rsidP="00FF512E">
      <w:pPr>
        <w:rPr>
          <w:lang w:val="en-US"/>
        </w:rPr>
      </w:pPr>
      <w:r>
        <w:rPr>
          <w:lang w:val="en-US"/>
        </w:rPr>
        <w:t xml:space="preserve">I learnt from the video that a negative economic profit wasn’t ideal and unfortunately Scan Tech has a negative one each year. However the trend is improving after a downward spiral in 2016 and 2017.  </w:t>
      </w:r>
    </w:p>
    <w:p w14:paraId="623FEFD6" w14:textId="5C80FEBF" w:rsidR="0079096E" w:rsidRDefault="0079096E" w:rsidP="00FF512E">
      <w:pPr>
        <w:rPr>
          <w:lang w:val="en-US"/>
        </w:rPr>
      </w:pPr>
    </w:p>
    <w:p w14:paraId="3A00416A" w14:textId="77777777" w:rsidR="0006218A" w:rsidRDefault="0006218A" w:rsidP="00FF512E">
      <w:pPr>
        <w:rPr>
          <w:lang w:val="en-US"/>
        </w:rPr>
      </w:pPr>
    </w:p>
    <w:p w14:paraId="639169FD" w14:textId="77777777" w:rsidR="0006218A" w:rsidRDefault="0006218A" w:rsidP="00FF512E">
      <w:pPr>
        <w:rPr>
          <w:lang w:val="en-US"/>
        </w:rPr>
      </w:pPr>
    </w:p>
    <w:p w14:paraId="3A26E5F7" w14:textId="0150FCBE" w:rsidR="0006218A" w:rsidRDefault="0006218A" w:rsidP="00FF512E">
      <w:pPr>
        <w:rPr>
          <w:lang w:val="en-US"/>
        </w:rPr>
      </w:pPr>
    </w:p>
    <w:p w14:paraId="1AFCA77E" w14:textId="77777777" w:rsidR="0006218A" w:rsidRPr="009E2010" w:rsidRDefault="0006218A" w:rsidP="00FF512E">
      <w:pPr>
        <w:rPr>
          <w:lang w:val="en-US"/>
        </w:rPr>
      </w:pPr>
    </w:p>
    <w:p w14:paraId="550ADDCF" w14:textId="1CEC38AD" w:rsidR="004B0652" w:rsidRDefault="004B0652" w:rsidP="00FF512E">
      <w:pPr>
        <w:rPr>
          <w:lang w:val="en-US"/>
        </w:rPr>
      </w:pPr>
    </w:p>
    <w:p w14:paraId="2D46FC99" w14:textId="17553275" w:rsidR="004B0652" w:rsidRDefault="004B0652" w:rsidP="00FF512E">
      <w:pPr>
        <w:rPr>
          <w:lang w:val="en-US"/>
        </w:rPr>
      </w:pPr>
    </w:p>
    <w:p w14:paraId="3A7D60CF" w14:textId="76F7C8C7" w:rsidR="004B0652" w:rsidRDefault="004B0652" w:rsidP="00FF512E">
      <w:pPr>
        <w:rPr>
          <w:lang w:val="en-US"/>
        </w:rPr>
      </w:pPr>
    </w:p>
    <w:p w14:paraId="1ADE637F" w14:textId="609BB383" w:rsidR="004B0652" w:rsidRDefault="004B0652" w:rsidP="00FF512E">
      <w:pPr>
        <w:rPr>
          <w:lang w:val="en-US"/>
        </w:rPr>
      </w:pPr>
    </w:p>
    <w:p w14:paraId="50428128" w14:textId="2261A9D5" w:rsidR="004B0652" w:rsidRDefault="004B0652" w:rsidP="00FF512E">
      <w:pPr>
        <w:rPr>
          <w:lang w:val="en-US"/>
        </w:rPr>
      </w:pPr>
    </w:p>
    <w:p w14:paraId="17BD231A" w14:textId="4DF8644D" w:rsidR="004B0652" w:rsidRDefault="004B0652" w:rsidP="00FF512E">
      <w:pPr>
        <w:rPr>
          <w:lang w:val="en-US"/>
        </w:rPr>
      </w:pPr>
    </w:p>
    <w:p w14:paraId="4D2CBF3B" w14:textId="48B10B6E" w:rsidR="004B0652" w:rsidRDefault="004B0652" w:rsidP="00FF512E">
      <w:pPr>
        <w:rPr>
          <w:lang w:val="en-US"/>
        </w:rPr>
      </w:pPr>
    </w:p>
    <w:p w14:paraId="4B10625D" w14:textId="4E9A56BC" w:rsidR="004B0652" w:rsidRDefault="004B0652" w:rsidP="00FF512E">
      <w:pPr>
        <w:rPr>
          <w:lang w:val="en-US"/>
        </w:rPr>
      </w:pPr>
    </w:p>
    <w:p w14:paraId="11FE590B" w14:textId="65AAC04E" w:rsidR="004B0652" w:rsidRDefault="004B0652" w:rsidP="00FF512E">
      <w:pPr>
        <w:rPr>
          <w:lang w:val="en-US"/>
        </w:rPr>
      </w:pPr>
    </w:p>
    <w:p w14:paraId="62A04AD9" w14:textId="3A6450DB" w:rsidR="004B0652" w:rsidRDefault="004B0652" w:rsidP="00FF512E">
      <w:pPr>
        <w:rPr>
          <w:lang w:val="en-US"/>
        </w:rPr>
      </w:pPr>
    </w:p>
    <w:p w14:paraId="357EBC39" w14:textId="5A07A84D" w:rsidR="004B0652" w:rsidRDefault="004B0652" w:rsidP="00FF512E">
      <w:pPr>
        <w:rPr>
          <w:lang w:val="en-US"/>
        </w:rPr>
      </w:pPr>
    </w:p>
    <w:p w14:paraId="72D08AC1" w14:textId="456806D3" w:rsidR="004B0652" w:rsidRDefault="004B0652" w:rsidP="00FF512E">
      <w:pPr>
        <w:rPr>
          <w:lang w:val="en-US"/>
        </w:rPr>
      </w:pPr>
    </w:p>
    <w:p w14:paraId="42DA981B" w14:textId="570A1A46" w:rsidR="004B0652" w:rsidRDefault="004B0652" w:rsidP="00FF512E">
      <w:pPr>
        <w:rPr>
          <w:lang w:val="en-US"/>
        </w:rPr>
      </w:pPr>
    </w:p>
    <w:p w14:paraId="399EE0CC" w14:textId="1F22C522" w:rsidR="004B0652" w:rsidRDefault="004B0652" w:rsidP="00FF512E">
      <w:pPr>
        <w:rPr>
          <w:lang w:val="en-US"/>
        </w:rPr>
      </w:pPr>
    </w:p>
    <w:p w14:paraId="13F166B9" w14:textId="2EFE719E" w:rsidR="004B0652" w:rsidRDefault="004B0652" w:rsidP="00FF512E">
      <w:pPr>
        <w:rPr>
          <w:lang w:val="en-US"/>
        </w:rPr>
      </w:pPr>
    </w:p>
    <w:p w14:paraId="72598CE4" w14:textId="707F0681" w:rsidR="004B0652" w:rsidRDefault="004B0652" w:rsidP="00FF512E">
      <w:pPr>
        <w:rPr>
          <w:lang w:val="en-US"/>
        </w:rPr>
      </w:pPr>
    </w:p>
    <w:p w14:paraId="5429707C" w14:textId="54CD14FF" w:rsidR="004B0652" w:rsidRDefault="004B0652" w:rsidP="00FF512E">
      <w:pPr>
        <w:rPr>
          <w:lang w:val="en-US"/>
        </w:rPr>
      </w:pPr>
    </w:p>
    <w:p w14:paraId="5AAB4D35" w14:textId="78BDCA89" w:rsidR="004B0652" w:rsidRDefault="004B0652" w:rsidP="00FF512E">
      <w:pPr>
        <w:rPr>
          <w:lang w:val="en-US"/>
        </w:rPr>
      </w:pPr>
    </w:p>
    <w:p w14:paraId="240FD345" w14:textId="77777777" w:rsidR="004B0652" w:rsidRDefault="004B0652" w:rsidP="00FF512E">
      <w:pPr>
        <w:rPr>
          <w:lang w:val="en-US"/>
        </w:rPr>
      </w:pPr>
    </w:p>
    <w:p w14:paraId="1B4A4534" w14:textId="77777777" w:rsidR="00D83A71" w:rsidRDefault="00D83A71" w:rsidP="00FF512E">
      <w:pPr>
        <w:rPr>
          <w:lang w:val="en-US"/>
        </w:rPr>
      </w:pPr>
    </w:p>
    <w:p w14:paraId="620CBCC2" w14:textId="23AB6C48" w:rsidR="00824BB3" w:rsidRDefault="00D83A71" w:rsidP="00FF512E">
      <w:pPr>
        <w:rPr>
          <w:lang w:val="en-US"/>
        </w:rPr>
      </w:pPr>
      <w:r>
        <w:rPr>
          <w:lang w:val="en-US"/>
        </w:rPr>
        <w:t xml:space="preserve"> </w:t>
      </w:r>
    </w:p>
    <w:p w14:paraId="4A2AB02B" w14:textId="77777777" w:rsidR="00CE0D0C" w:rsidRDefault="00CE0D0C" w:rsidP="00FF512E">
      <w:pPr>
        <w:rPr>
          <w:lang w:val="en-US"/>
        </w:rPr>
      </w:pPr>
    </w:p>
    <w:p w14:paraId="42D66238" w14:textId="165405BD" w:rsidR="00853D5C" w:rsidRDefault="00853D5C" w:rsidP="00FF512E">
      <w:pPr>
        <w:rPr>
          <w:lang w:val="en-US"/>
        </w:rPr>
      </w:pPr>
    </w:p>
    <w:p w14:paraId="177A8B38" w14:textId="77777777" w:rsidR="004962B3" w:rsidRPr="003014DD" w:rsidRDefault="004962B3" w:rsidP="00CE0D0C">
      <w:pPr>
        <w:rPr>
          <w:lang w:val="en-US"/>
        </w:rPr>
      </w:pPr>
    </w:p>
    <w:sectPr w:rsidR="004962B3" w:rsidRPr="003014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77F4A"/>
    <w:multiLevelType w:val="hybridMultilevel"/>
    <w:tmpl w:val="D8445466"/>
    <w:lvl w:ilvl="0" w:tplc="0C090001">
      <w:start w:val="1"/>
      <w:numFmt w:val="bullet"/>
      <w:lvlText w:val=""/>
      <w:lvlJc w:val="left"/>
      <w:pPr>
        <w:ind w:left="768" w:hanging="360"/>
      </w:pPr>
      <w:rPr>
        <w:rFonts w:ascii="Symbol" w:hAnsi="Symbol" w:hint="default"/>
      </w:rPr>
    </w:lvl>
    <w:lvl w:ilvl="1" w:tplc="0C090003" w:tentative="1">
      <w:start w:val="1"/>
      <w:numFmt w:val="bullet"/>
      <w:lvlText w:val="o"/>
      <w:lvlJc w:val="left"/>
      <w:pPr>
        <w:ind w:left="1488" w:hanging="360"/>
      </w:pPr>
      <w:rPr>
        <w:rFonts w:ascii="Courier New" w:hAnsi="Courier New" w:cs="Courier New" w:hint="default"/>
      </w:rPr>
    </w:lvl>
    <w:lvl w:ilvl="2" w:tplc="0C090005" w:tentative="1">
      <w:start w:val="1"/>
      <w:numFmt w:val="bullet"/>
      <w:lvlText w:val=""/>
      <w:lvlJc w:val="left"/>
      <w:pPr>
        <w:ind w:left="2208" w:hanging="360"/>
      </w:pPr>
      <w:rPr>
        <w:rFonts w:ascii="Wingdings" w:hAnsi="Wingdings" w:hint="default"/>
      </w:rPr>
    </w:lvl>
    <w:lvl w:ilvl="3" w:tplc="0C090001" w:tentative="1">
      <w:start w:val="1"/>
      <w:numFmt w:val="bullet"/>
      <w:lvlText w:val=""/>
      <w:lvlJc w:val="left"/>
      <w:pPr>
        <w:ind w:left="2928" w:hanging="360"/>
      </w:pPr>
      <w:rPr>
        <w:rFonts w:ascii="Symbol" w:hAnsi="Symbol" w:hint="default"/>
      </w:rPr>
    </w:lvl>
    <w:lvl w:ilvl="4" w:tplc="0C090003" w:tentative="1">
      <w:start w:val="1"/>
      <w:numFmt w:val="bullet"/>
      <w:lvlText w:val="o"/>
      <w:lvlJc w:val="left"/>
      <w:pPr>
        <w:ind w:left="3648" w:hanging="360"/>
      </w:pPr>
      <w:rPr>
        <w:rFonts w:ascii="Courier New" w:hAnsi="Courier New" w:cs="Courier New" w:hint="default"/>
      </w:rPr>
    </w:lvl>
    <w:lvl w:ilvl="5" w:tplc="0C090005" w:tentative="1">
      <w:start w:val="1"/>
      <w:numFmt w:val="bullet"/>
      <w:lvlText w:val=""/>
      <w:lvlJc w:val="left"/>
      <w:pPr>
        <w:ind w:left="4368" w:hanging="360"/>
      </w:pPr>
      <w:rPr>
        <w:rFonts w:ascii="Wingdings" w:hAnsi="Wingdings" w:hint="default"/>
      </w:rPr>
    </w:lvl>
    <w:lvl w:ilvl="6" w:tplc="0C090001" w:tentative="1">
      <w:start w:val="1"/>
      <w:numFmt w:val="bullet"/>
      <w:lvlText w:val=""/>
      <w:lvlJc w:val="left"/>
      <w:pPr>
        <w:ind w:left="5088" w:hanging="360"/>
      </w:pPr>
      <w:rPr>
        <w:rFonts w:ascii="Symbol" w:hAnsi="Symbol" w:hint="default"/>
      </w:rPr>
    </w:lvl>
    <w:lvl w:ilvl="7" w:tplc="0C090003" w:tentative="1">
      <w:start w:val="1"/>
      <w:numFmt w:val="bullet"/>
      <w:lvlText w:val="o"/>
      <w:lvlJc w:val="left"/>
      <w:pPr>
        <w:ind w:left="5808" w:hanging="360"/>
      </w:pPr>
      <w:rPr>
        <w:rFonts w:ascii="Courier New" w:hAnsi="Courier New" w:cs="Courier New" w:hint="default"/>
      </w:rPr>
    </w:lvl>
    <w:lvl w:ilvl="8" w:tplc="0C090005" w:tentative="1">
      <w:start w:val="1"/>
      <w:numFmt w:val="bullet"/>
      <w:lvlText w:val=""/>
      <w:lvlJc w:val="left"/>
      <w:pPr>
        <w:ind w:left="6528" w:hanging="360"/>
      </w:pPr>
      <w:rPr>
        <w:rFonts w:ascii="Wingdings" w:hAnsi="Wingdings" w:hint="default"/>
      </w:rPr>
    </w:lvl>
  </w:abstractNum>
  <w:abstractNum w:abstractNumId="1" w15:restartNumberingAfterBreak="0">
    <w:nsid w:val="141C1CB1"/>
    <w:multiLevelType w:val="hybridMultilevel"/>
    <w:tmpl w:val="0D6C326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D4226CA"/>
    <w:multiLevelType w:val="hybridMultilevel"/>
    <w:tmpl w:val="8F8A47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DC556F0"/>
    <w:multiLevelType w:val="hybridMultilevel"/>
    <w:tmpl w:val="DBF04A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DF907DC"/>
    <w:multiLevelType w:val="hybridMultilevel"/>
    <w:tmpl w:val="8A427C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3A40E9E"/>
    <w:multiLevelType w:val="hybridMultilevel"/>
    <w:tmpl w:val="D7E88E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5DC1B4F"/>
    <w:multiLevelType w:val="hybridMultilevel"/>
    <w:tmpl w:val="AA982C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19303B1"/>
    <w:multiLevelType w:val="hybridMultilevel"/>
    <w:tmpl w:val="BE5080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6"/>
  </w:num>
  <w:num w:numId="5">
    <w:abstractNumId w:val="5"/>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12E"/>
    <w:rsid w:val="00020022"/>
    <w:rsid w:val="0006218A"/>
    <w:rsid w:val="000B37BC"/>
    <w:rsid w:val="000E67DB"/>
    <w:rsid w:val="000E6A40"/>
    <w:rsid w:val="000F128A"/>
    <w:rsid w:val="00102A5A"/>
    <w:rsid w:val="0016138C"/>
    <w:rsid w:val="00183013"/>
    <w:rsid w:val="001F6F49"/>
    <w:rsid w:val="00220EBE"/>
    <w:rsid w:val="002362E3"/>
    <w:rsid w:val="00256E61"/>
    <w:rsid w:val="002654ED"/>
    <w:rsid w:val="00274C40"/>
    <w:rsid w:val="00280628"/>
    <w:rsid w:val="002A2D2A"/>
    <w:rsid w:val="002A369B"/>
    <w:rsid w:val="002B5F98"/>
    <w:rsid w:val="002F6323"/>
    <w:rsid w:val="003014DD"/>
    <w:rsid w:val="00303245"/>
    <w:rsid w:val="00306967"/>
    <w:rsid w:val="00325678"/>
    <w:rsid w:val="00326DFE"/>
    <w:rsid w:val="00331C6C"/>
    <w:rsid w:val="00335E92"/>
    <w:rsid w:val="003377AC"/>
    <w:rsid w:val="003452AC"/>
    <w:rsid w:val="0037259A"/>
    <w:rsid w:val="003B7181"/>
    <w:rsid w:val="00446536"/>
    <w:rsid w:val="00456788"/>
    <w:rsid w:val="00487470"/>
    <w:rsid w:val="0049169D"/>
    <w:rsid w:val="004962B3"/>
    <w:rsid w:val="004A0B18"/>
    <w:rsid w:val="004B0652"/>
    <w:rsid w:val="004B2C7A"/>
    <w:rsid w:val="004C0FA2"/>
    <w:rsid w:val="00507A2D"/>
    <w:rsid w:val="00512CA3"/>
    <w:rsid w:val="005264D5"/>
    <w:rsid w:val="005312B5"/>
    <w:rsid w:val="00544C82"/>
    <w:rsid w:val="00565211"/>
    <w:rsid w:val="005959EA"/>
    <w:rsid w:val="005D2578"/>
    <w:rsid w:val="00606B64"/>
    <w:rsid w:val="00610063"/>
    <w:rsid w:val="006509BB"/>
    <w:rsid w:val="00656AF5"/>
    <w:rsid w:val="006658EF"/>
    <w:rsid w:val="00682BEC"/>
    <w:rsid w:val="00694BF2"/>
    <w:rsid w:val="006B20E1"/>
    <w:rsid w:val="006B2505"/>
    <w:rsid w:val="006B68F3"/>
    <w:rsid w:val="006E3D22"/>
    <w:rsid w:val="006E69A4"/>
    <w:rsid w:val="006F0D73"/>
    <w:rsid w:val="00716F7B"/>
    <w:rsid w:val="00734F69"/>
    <w:rsid w:val="00740BE6"/>
    <w:rsid w:val="007416C0"/>
    <w:rsid w:val="007571B8"/>
    <w:rsid w:val="0078612B"/>
    <w:rsid w:val="0079096E"/>
    <w:rsid w:val="007C1E6B"/>
    <w:rsid w:val="007D490F"/>
    <w:rsid w:val="007D6D95"/>
    <w:rsid w:val="007F2B9C"/>
    <w:rsid w:val="00824BB3"/>
    <w:rsid w:val="008350CA"/>
    <w:rsid w:val="008357A6"/>
    <w:rsid w:val="00853D5C"/>
    <w:rsid w:val="008D7D1A"/>
    <w:rsid w:val="008E144C"/>
    <w:rsid w:val="008F4C5D"/>
    <w:rsid w:val="00914EC5"/>
    <w:rsid w:val="009239F2"/>
    <w:rsid w:val="009614C3"/>
    <w:rsid w:val="0098649D"/>
    <w:rsid w:val="009A5DA9"/>
    <w:rsid w:val="009B4999"/>
    <w:rsid w:val="009C713E"/>
    <w:rsid w:val="009E2010"/>
    <w:rsid w:val="00A1618E"/>
    <w:rsid w:val="00A25576"/>
    <w:rsid w:val="00A51B3F"/>
    <w:rsid w:val="00A529F6"/>
    <w:rsid w:val="00A56811"/>
    <w:rsid w:val="00A671C3"/>
    <w:rsid w:val="00A67C48"/>
    <w:rsid w:val="00A71E3D"/>
    <w:rsid w:val="00A803D8"/>
    <w:rsid w:val="00A967AE"/>
    <w:rsid w:val="00A96B5D"/>
    <w:rsid w:val="00AC6284"/>
    <w:rsid w:val="00B034A5"/>
    <w:rsid w:val="00B22328"/>
    <w:rsid w:val="00B27DE8"/>
    <w:rsid w:val="00B91C03"/>
    <w:rsid w:val="00BA2641"/>
    <w:rsid w:val="00BA50B7"/>
    <w:rsid w:val="00BB1E0E"/>
    <w:rsid w:val="00BF0D9C"/>
    <w:rsid w:val="00C16E2D"/>
    <w:rsid w:val="00C43F9A"/>
    <w:rsid w:val="00C90178"/>
    <w:rsid w:val="00CA67B3"/>
    <w:rsid w:val="00CC4C10"/>
    <w:rsid w:val="00CE0D0C"/>
    <w:rsid w:val="00CF650D"/>
    <w:rsid w:val="00D61ADA"/>
    <w:rsid w:val="00D83A71"/>
    <w:rsid w:val="00DC3AFE"/>
    <w:rsid w:val="00DE7046"/>
    <w:rsid w:val="00E10462"/>
    <w:rsid w:val="00E65662"/>
    <w:rsid w:val="00ED1C93"/>
    <w:rsid w:val="00EE0F6A"/>
    <w:rsid w:val="00F51C45"/>
    <w:rsid w:val="00F51D09"/>
    <w:rsid w:val="00F5337B"/>
    <w:rsid w:val="00FD3EE1"/>
    <w:rsid w:val="00FE48E9"/>
    <w:rsid w:val="00FF2E35"/>
    <w:rsid w:val="00FF512E"/>
    <w:rsid w:val="00FF54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ACE63"/>
  <w15:chartTrackingRefBased/>
  <w15:docId w15:val="{799C616B-B2FF-4F86-921B-E6F655745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1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34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34A5"/>
    <w:rPr>
      <w:rFonts w:ascii="Segoe UI" w:hAnsi="Segoe UI" w:cs="Segoe UI"/>
      <w:sz w:val="18"/>
      <w:szCs w:val="18"/>
    </w:rPr>
  </w:style>
  <w:style w:type="paragraph" w:styleId="ListParagraph">
    <w:name w:val="List Paragraph"/>
    <w:basedOn w:val="Normal"/>
    <w:uiPriority w:val="34"/>
    <w:qFormat/>
    <w:rsid w:val="009B4999"/>
    <w:pPr>
      <w:ind w:left="720"/>
      <w:contextualSpacing/>
    </w:pPr>
  </w:style>
  <w:style w:type="character" w:styleId="Strong">
    <w:name w:val="Strong"/>
    <w:basedOn w:val="DefaultParagraphFont"/>
    <w:uiPriority w:val="22"/>
    <w:qFormat/>
    <w:rsid w:val="002A2D2A"/>
    <w:rPr>
      <w:b/>
      <w:bCs/>
    </w:rPr>
  </w:style>
  <w:style w:type="character" w:styleId="Hyperlink">
    <w:name w:val="Hyperlink"/>
    <w:basedOn w:val="DefaultParagraphFont"/>
    <w:uiPriority w:val="99"/>
    <w:unhideWhenUsed/>
    <w:rsid w:val="006B20E1"/>
    <w:rPr>
      <w:color w:val="0563C1" w:themeColor="hyperlink"/>
      <w:u w:val="single"/>
    </w:rPr>
  </w:style>
  <w:style w:type="character" w:styleId="UnresolvedMention">
    <w:name w:val="Unresolved Mention"/>
    <w:basedOn w:val="DefaultParagraphFont"/>
    <w:uiPriority w:val="99"/>
    <w:semiHidden/>
    <w:unhideWhenUsed/>
    <w:rsid w:val="006B2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976871">
      <w:bodyDiv w:val="1"/>
      <w:marLeft w:val="0"/>
      <w:marRight w:val="0"/>
      <w:marTop w:val="0"/>
      <w:marBottom w:val="0"/>
      <w:divBdr>
        <w:top w:val="none" w:sz="0" w:space="0" w:color="auto"/>
        <w:left w:val="none" w:sz="0" w:space="0" w:color="auto"/>
        <w:bottom w:val="none" w:sz="0" w:space="0" w:color="auto"/>
        <w:right w:val="none" w:sz="0" w:space="0" w:color="auto"/>
      </w:divBdr>
    </w:div>
    <w:div w:id="304048300">
      <w:bodyDiv w:val="1"/>
      <w:marLeft w:val="0"/>
      <w:marRight w:val="0"/>
      <w:marTop w:val="0"/>
      <w:marBottom w:val="0"/>
      <w:divBdr>
        <w:top w:val="none" w:sz="0" w:space="0" w:color="auto"/>
        <w:left w:val="none" w:sz="0" w:space="0" w:color="auto"/>
        <w:bottom w:val="none" w:sz="0" w:space="0" w:color="auto"/>
        <w:right w:val="none" w:sz="0" w:space="0" w:color="auto"/>
      </w:divBdr>
    </w:div>
    <w:div w:id="308361805">
      <w:bodyDiv w:val="1"/>
      <w:marLeft w:val="0"/>
      <w:marRight w:val="0"/>
      <w:marTop w:val="0"/>
      <w:marBottom w:val="0"/>
      <w:divBdr>
        <w:top w:val="none" w:sz="0" w:space="0" w:color="auto"/>
        <w:left w:val="none" w:sz="0" w:space="0" w:color="auto"/>
        <w:bottom w:val="none" w:sz="0" w:space="0" w:color="auto"/>
        <w:right w:val="none" w:sz="0" w:space="0" w:color="auto"/>
      </w:divBdr>
    </w:div>
    <w:div w:id="333846617">
      <w:bodyDiv w:val="1"/>
      <w:marLeft w:val="0"/>
      <w:marRight w:val="0"/>
      <w:marTop w:val="0"/>
      <w:marBottom w:val="0"/>
      <w:divBdr>
        <w:top w:val="none" w:sz="0" w:space="0" w:color="auto"/>
        <w:left w:val="none" w:sz="0" w:space="0" w:color="auto"/>
        <w:bottom w:val="none" w:sz="0" w:space="0" w:color="auto"/>
        <w:right w:val="none" w:sz="0" w:space="0" w:color="auto"/>
      </w:divBdr>
    </w:div>
    <w:div w:id="687944710">
      <w:bodyDiv w:val="1"/>
      <w:marLeft w:val="0"/>
      <w:marRight w:val="0"/>
      <w:marTop w:val="0"/>
      <w:marBottom w:val="0"/>
      <w:divBdr>
        <w:top w:val="none" w:sz="0" w:space="0" w:color="auto"/>
        <w:left w:val="none" w:sz="0" w:space="0" w:color="auto"/>
        <w:bottom w:val="none" w:sz="0" w:space="0" w:color="auto"/>
        <w:right w:val="none" w:sz="0" w:space="0" w:color="auto"/>
      </w:divBdr>
    </w:div>
    <w:div w:id="731848693">
      <w:bodyDiv w:val="1"/>
      <w:marLeft w:val="0"/>
      <w:marRight w:val="0"/>
      <w:marTop w:val="0"/>
      <w:marBottom w:val="0"/>
      <w:divBdr>
        <w:top w:val="none" w:sz="0" w:space="0" w:color="auto"/>
        <w:left w:val="none" w:sz="0" w:space="0" w:color="auto"/>
        <w:bottom w:val="none" w:sz="0" w:space="0" w:color="auto"/>
        <w:right w:val="none" w:sz="0" w:space="0" w:color="auto"/>
      </w:divBdr>
    </w:div>
    <w:div w:id="925378077">
      <w:bodyDiv w:val="1"/>
      <w:marLeft w:val="0"/>
      <w:marRight w:val="0"/>
      <w:marTop w:val="0"/>
      <w:marBottom w:val="0"/>
      <w:divBdr>
        <w:top w:val="none" w:sz="0" w:space="0" w:color="auto"/>
        <w:left w:val="none" w:sz="0" w:space="0" w:color="auto"/>
        <w:bottom w:val="none" w:sz="0" w:space="0" w:color="auto"/>
        <w:right w:val="none" w:sz="0" w:space="0" w:color="auto"/>
      </w:divBdr>
    </w:div>
    <w:div w:id="1603103945">
      <w:bodyDiv w:val="1"/>
      <w:marLeft w:val="0"/>
      <w:marRight w:val="0"/>
      <w:marTop w:val="0"/>
      <w:marBottom w:val="0"/>
      <w:divBdr>
        <w:top w:val="none" w:sz="0" w:space="0" w:color="auto"/>
        <w:left w:val="none" w:sz="0" w:space="0" w:color="auto"/>
        <w:bottom w:val="none" w:sz="0" w:space="0" w:color="auto"/>
        <w:right w:val="none" w:sz="0" w:space="0" w:color="auto"/>
      </w:divBdr>
    </w:div>
    <w:div w:id="2084527146">
      <w:bodyDiv w:val="1"/>
      <w:marLeft w:val="0"/>
      <w:marRight w:val="0"/>
      <w:marTop w:val="0"/>
      <w:marBottom w:val="0"/>
      <w:divBdr>
        <w:top w:val="none" w:sz="0" w:space="0" w:color="auto"/>
        <w:left w:val="none" w:sz="0" w:space="0" w:color="auto"/>
        <w:bottom w:val="none" w:sz="0" w:space="0" w:color="auto"/>
        <w:right w:val="none" w:sz="0" w:space="0" w:color="auto"/>
      </w:divBdr>
    </w:div>
    <w:div w:id="2108234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hareholders.scantech.com.au/Shareholde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FE146-6FB5-43A6-A4D4-CF4DE250C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5</Pages>
  <Words>1694</Words>
  <Characters>9657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13</cp:revision>
  <dcterms:created xsi:type="dcterms:W3CDTF">2019-05-28T09:40:00Z</dcterms:created>
  <dcterms:modified xsi:type="dcterms:W3CDTF">2019-05-30T10:36:00Z</dcterms:modified>
</cp:coreProperties>
</file>